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4EE7F0">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eastAsia="zh-CN"/>
        </w:rPr>
        <w:t>关于</w:t>
      </w:r>
      <w:r>
        <w:rPr>
          <w:rFonts w:hint="eastAsia" w:ascii="Times New Roman" w:hAnsi="Times New Roman" w:eastAsia="宋体" w:cs="Times New Roman"/>
          <w:sz w:val="30"/>
          <w:szCs w:val="30"/>
          <w:lang w:val="en-US" w:eastAsia="zh-CN"/>
        </w:rPr>
        <w:t>福田街道兴隆大街西侧</w:t>
      </w:r>
      <w:bookmarkStart w:id="0" w:name="_GoBack"/>
      <w:bookmarkEnd w:id="0"/>
      <w:r>
        <w:rPr>
          <w:rFonts w:hint="eastAsia" w:ascii="Times New Roman" w:hAnsi="Times New Roman" w:eastAsia="宋体" w:cs="Times New Roman"/>
          <w:sz w:val="30"/>
          <w:szCs w:val="30"/>
          <w:lang w:val="en-US" w:eastAsia="zh-CN"/>
        </w:rPr>
        <w:t>地块第一阶段土壤</w:t>
      </w:r>
    </w:p>
    <w:p w14:paraId="6330488D">
      <w:pPr>
        <w:spacing w:line="440" w:lineRule="exact"/>
        <w:jc w:val="center"/>
        <w:rPr>
          <w:rFonts w:hint="eastAsia" w:ascii="Times New Roman" w:hAnsi="Times New Roman" w:eastAsia="宋体" w:cs="Times New Roman"/>
          <w:sz w:val="30"/>
          <w:szCs w:val="30"/>
          <w:lang w:val="en-US" w:eastAsia="zh-CN"/>
        </w:rPr>
      </w:pPr>
      <w:r>
        <w:rPr>
          <w:rFonts w:hint="eastAsia" w:ascii="Times New Roman" w:hAnsi="Times New Roman" w:eastAsia="宋体" w:cs="Times New Roman"/>
          <w:sz w:val="30"/>
          <w:szCs w:val="30"/>
          <w:lang w:val="en-US" w:eastAsia="zh-CN"/>
        </w:rPr>
        <w:t>污染状况调查报告的公示</w:t>
      </w:r>
    </w:p>
    <w:p w14:paraId="0564150E">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0" w:firstLineChars="200"/>
        <w:textAlignment w:val="auto"/>
        <w:rPr>
          <w:rFonts w:hint="eastAsia" w:ascii="Times New Roman" w:hAnsi="Times New Roman" w:eastAsia="宋体" w:cs="Times New Roman"/>
          <w:color w:val="auto"/>
          <w:sz w:val="24"/>
          <w:szCs w:val="24"/>
          <w:highlight w:val="none"/>
          <w:lang w:val="en-US" w:eastAsia="zh-CN"/>
        </w:rPr>
      </w:pPr>
      <w:r>
        <w:rPr>
          <w:rFonts w:hint="eastAsia" w:ascii="Times New Roman" w:hAnsi="Times New Roman" w:eastAsia="宋体" w:cs="Times New Roman"/>
          <w:color w:val="auto"/>
          <w:sz w:val="24"/>
          <w:szCs w:val="24"/>
          <w:highlight w:val="none"/>
          <w:lang w:val="en-US" w:eastAsia="zh-CN"/>
        </w:rPr>
        <w:t>福田街道兴隆大街西侧地块</w:t>
      </w:r>
      <w:r>
        <w:rPr>
          <w:rFonts w:hint="default" w:ascii="Times New Roman" w:hAnsi="Times New Roman" w:eastAsia="宋体" w:cs="Times New Roman"/>
          <w:color w:val="auto"/>
          <w:sz w:val="24"/>
          <w:szCs w:val="24"/>
          <w:highlight w:val="none"/>
          <w:lang w:val="en-US" w:eastAsia="zh-CN"/>
        </w:rPr>
        <w:t>位于</w:t>
      </w:r>
      <w:r>
        <w:rPr>
          <w:rFonts w:hint="eastAsia" w:cs="Times New Roman"/>
          <w:color w:val="auto"/>
          <w:sz w:val="24"/>
          <w:szCs w:val="24"/>
          <w:highlight w:val="none"/>
          <w:lang w:val="en-US" w:eastAsia="zh-CN"/>
        </w:rPr>
        <w:t>义乌市</w:t>
      </w:r>
      <w:r>
        <w:rPr>
          <w:rFonts w:hint="default" w:ascii="Times New Roman" w:hAnsi="Times New Roman" w:eastAsia="宋体" w:cs="Times New Roman"/>
          <w:color w:val="auto"/>
          <w:sz w:val="24"/>
          <w:szCs w:val="24"/>
          <w:highlight w:val="none"/>
          <w:lang w:val="en-US" w:eastAsia="zh-CN"/>
        </w:rPr>
        <w:t>福田</w:t>
      </w:r>
      <w:r>
        <w:rPr>
          <w:rFonts w:hint="eastAsia" w:ascii="Times New Roman" w:hAnsi="Times New Roman" w:eastAsia="宋体" w:cs="Times New Roman"/>
          <w:color w:val="auto"/>
          <w:sz w:val="24"/>
          <w:szCs w:val="24"/>
          <w:highlight w:val="none"/>
          <w:lang w:val="en-US" w:eastAsia="zh-CN"/>
        </w:rPr>
        <w:t>街道</w:t>
      </w:r>
      <w:r>
        <w:rPr>
          <w:rFonts w:hint="eastAsia" w:cs="Times New Roman"/>
          <w:color w:val="auto"/>
          <w:sz w:val="24"/>
          <w:szCs w:val="24"/>
          <w:highlight w:val="none"/>
          <w:lang w:val="en-US" w:eastAsia="zh-CN"/>
        </w:rPr>
        <w:t>兴隆大街西</w:t>
      </w:r>
      <w:r>
        <w:rPr>
          <w:rFonts w:hint="eastAsia" w:ascii="Times New Roman" w:hAnsi="Times New Roman" w:eastAsia="宋体" w:cs="Times New Roman"/>
          <w:color w:val="auto"/>
          <w:sz w:val="24"/>
          <w:szCs w:val="24"/>
          <w:highlight w:val="none"/>
          <w:lang w:val="en-US" w:eastAsia="zh-CN"/>
        </w:rPr>
        <w:t>侧</w:t>
      </w:r>
      <w:r>
        <w:rPr>
          <w:rFonts w:hint="default" w:ascii="Times New Roman" w:hAnsi="Times New Roman" w:eastAsia="宋体" w:cs="Times New Roman"/>
          <w:color w:val="auto"/>
          <w:sz w:val="24"/>
          <w:szCs w:val="24"/>
          <w:highlight w:val="none"/>
          <w:lang w:val="en-US" w:eastAsia="zh-CN"/>
        </w:rPr>
        <w:t>，东至</w:t>
      </w:r>
      <w:r>
        <w:rPr>
          <w:rFonts w:hint="eastAsia" w:ascii="Times New Roman" w:hAnsi="Times New Roman" w:eastAsia="宋体" w:cs="Times New Roman"/>
          <w:color w:val="auto"/>
          <w:sz w:val="24"/>
          <w:szCs w:val="24"/>
          <w:highlight w:val="none"/>
          <w:lang w:val="en-US" w:eastAsia="zh-CN"/>
        </w:rPr>
        <w:t>兴隆大街，</w:t>
      </w:r>
      <w:r>
        <w:rPr>
          <w:rFonts w:hint="default" w:ascii="Times New Roman" w:hAnsi="Times New Roman" w:eastAsia="宋体" w:cs="Times New Roman"/>
          <w:color w:val="auto"/>
          <w:sz w:val="24"/>
          <w:szCs w:val="24"/>
          <w:highlight w:val="none"/>
          <w:lang w:val="en-US" w:eastAsia="zh-CN"/>
        </w:rPr>
        <w:t>南至</w:t>
      </w:r>
      <w:r>
        <w:rPr>
          <w:rFonts w:hint="eastAsia" w:ascii="Times New Roman" w:hAnsi="Times New Roman" w:eastAsia="宋体" w:cs="Times New Roman"/>
          <w:color w:val="auto"/>
          <w:sz w:val="24"/>
          <w:szCs w:val="24"/>
          <w:highlight w:val="none"/>
          <w:lang w:val="en-US" w:eastAsia="zh-CN"/>
        </w:rPr>
        <w:t>耕地</w:t>
      </w:r>
      <w:r>
        <w:rPr>
          <w:rFonts w:hint="default" w:ascii="Times New Roman" w:hAnsi="Times New Roman" w:eastAsia="宋体" w:cs="Times New Roman"/>
          <w:color w:val="auto"/>
          <w:sz w:val="24"/>
          <w:szCs w:val="24"/>
          <w:highlight w:val="none"/>
          <w:lang w:val="en-US" w:eastAsia="zh-CN"/>
        </w:rPr>
        <w:t>，西至</w:t>
      </w:r>
      <w:r>
        <w:rPr>
          <w:rFonts w:hint="eastAsia" w:ascii="Times New Roman" w:hAnsi="Times New Roman" w:eastAsia="宋体" w:cs="Times New Roman"/>
          <w:color w:val="auto"/>
          <w:sz w:val="24"/>
          <w:szCs w:val="24"/>
          <w:highlight w:val="none"/>
          <w:lang w:val="en-US" w:eastAsia="zh-CN"/>
        </w:rPr>
        <w:t>空地</w:t>
      </w:r>
      <w:r>
        <w:rPr>
          <w:rFonts w:hint="default" w:ascii="Times New Roman" w:hAnsi="Times New Roman" w:eastAsia="宋体" w:cs="Times New Roman"/>
          <w:color w:val="auto"/>
          <w:sz w:val="24"/>
          <w:szCs w:val="24"/>
          <w:highlight w:val="none"/>
          <w:lang w:val="en-US" w:eastAsia="zh-CN"/>
        </w:rPr>
        <w:t>，北至</w:t>
      </w:r>
      <w:r>
        <w:rPr>
          <w:rFonts w:hint="eastAsia" w:ascii="Times New Roman" w:hAnsi="Times New Roman" w:eastAsia="宋体" w:cs="Times New Roman"/>
          <w:color w:val="auto"/>
          <w:sz w:val="24"/>
          <w:szCs w:val="24"/>
          <w:highlight w:val="none"/>
          <w:lang w:val="en-US" w:eastAsia="zh-CN"/>
        </w:rPr>
        <w:t>耕地</w:t>
      </w:r>
      <w:r>
        <w:rPr>
          <w:rFonts w:hint="default" w:ascii="Times New Roman" w:hAnsi="Times New Roman" w:eastAsia="宋体" w:cs="Times New Roman"/>
          <w:color w:val="auto"/>
          <w:sz w:val="24"/>
          <w:szCs w:val="24"/>
          <w:highlight w:val="none"/>
          <w:lang w:val="en-US" w:eastAsia="zh-CN"/>
        </w:rPr>
        <w:t>，总调查面积为</w:t>
      </w:r>
      <w:r>
        <w:rPr>
          <w:rFonts w:hint="eastAsia" w:cs="Times New Roman"/>
          <w:color w:val="auto"/>
          <w:sz w:val="24"/>
          <w:szCs w:val="24"/>
          <w:highlight w:val="none"/>
          <w:lang w:val="en-US" w:eastAsia="zh-CN"/>
        </w:rPr>
        <w:t>11372.64</w:t>
      </w:r>
      <w:r>
        <w:rPr>
          <w:rFonts w:hint="default" w:ascii="Times New Roman" w:hAnsi="Times New Roman" w:eastAsia="宋体" w:cs="Times New Roman"/>
          <w:color w:val="auto"/>
          <w:sz w:val="24"/>
          <w:szCs w:val="24"/>
          <w:highlight w:val="none"/>
          <w:lang w:val="en-US" w:eastAsia="zh-CN"/>
        </w:rPr>
        <w:t>平方米，中心桩号为东经</w:t>
      </w:r>
      <w:r>
        <w:rPr>
          <w:rFonts w:hint="eastAsia" w:ascii="Times New Roman" w:hAnsi="Times New Roman" w:eastAsia="宋体" w:cs="Times New Roman"/>
          <w:color w:val="auto"/>
          <w:sz w:val="24"/>
          <w:szCs w:val="24"/>
          <w:highlight w:val="none"/>
          <w:lang w:val="en-US" w:eastAsia="zh-CN"/>
        </w:rPr>
        <w:t>120.122991</w:t>
      </w:r>
      <w:r>
        <w:rPr>
          <w:rFonts w:hint="default" w:ascii="Times New Roman" w:hAnsi="Times New Roman" w:eastAsia="宋体" w:cs="Times New Roman"/>
          <w:color w:val="auto"/>
          <w:sz w:val="24"/>
          <w:szCs w:val="24"/>
          <w:highlight w:val="none"/>
          <w:lang w:val="en-US" w:eastAsia="zh-CN"/>
        </w:rPr>
        <w:t>°，北纬</w:t>
      </w:r>
      <w:r>
        <w:rPr>
          <w:rFonts w:hint="eastAsia" w:ascii="Times New Roman" w:hAnsi="Times New Roman" w:eastAsia="宋体" w:cs="Times New Roman"/>
          <w:color w:val="auto"/>
          <w:sz w:val="24"/>
          <w:szCs w:val="24"/>
          <w:highlight w:val="none"/>
          <w:lang w:val="en-US" w:eastAsia="zh-CN"/>
        </w:rPr>
        <w:t>29.349476</w:t>
      </w:r>
      <w:r>
        <w:rPr>
          <w:rFonts w:hint="default" w:ascii="Times New Roman" w:hAnsi="Times New Roman" w:eastAsia="宋体" w:cs="Times New Roman"/>
          <w:color w:val="auto"/>
          <w:sz w:val="24"/>
          <w:szCs w:val="24"/>
          <w:highlight w:val="none"/>
          <w:lang w:val="en-US" w:eastAsia="zh-CN"/>
        </w:rPr>
        <w:t>°。本地块</w:t>
      </w:r>
      <w:r>
        <w:rPr>
          <w:rFonts w:hint="eastAsia" w:ascii="Times New Roman" w:hAnsi="Times New Roman" w:eastAsia="宋体" w:cs="Times New Roman"/>
          <w:color w:val="auto"/>
          <w:sz w:val="24"/>
          <w:szCs w:val="24"/>
          <w:highlight w:val="none"/>
          <w:lang w:val="en-US" w:eastAsia="zh-CN"/>
        </w:rPr>
        <w:t>原</w:t>
      </w:r>
      <w:r>
        <w:rPr>
          <w:rFonts w:hint="default" w:ascii="Times New Roman" w:hAnsi="Times New Roman" w:eastAsia="宋体" w:cs="Times New Roman"/>
          <w:color w:val="auto"/>
          <w:sz w:val="24"/>
          <w:szCs w:val="24"/>
          <w:highlight w:val="none"/>
          <w:lang w:val="en-US" w:eastAsia="zh-CN"/>
        </w:rPr>
        <w:t>为农</w:t>
      </w:r>
      <w:r>
        <w:rPr>
          <w:rFonts w:hint="eastAsia" w:ascii="Times New Roman" w:hAnsi="Times New Roman" w:eastAsia="宋体" w:cs="Times New Roman"/>
          <w:color w:val="auto"/>
          <w:sz w:val="24"/>
          <w:szCs w:val="24"/>
          <w:highlight w:val="none"/>
          <w:lang w:val="en-US" w:eastAsia="zh-CN"/>
        </w:rPr>
        <w:t>用地</w:t>
      </w:r>
      <w:r>
        <w:rPr>
          <w:rFonts w:hint="default" w:ascii="Times New Roman" w:hAnsi="Times New Roman" w:eastAsia="宋体"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现状为空地</w:t>
      </w:r>
      <w:r>
        <w:rPr>
          <w:rFonts w:hint="eastAsia" w:ascii="Times New Roman" w:cs="Times New Roman"/>
          <w:color w:val="auto"/>
          <w:sz w:val="24"/>
          <w:szCs w:val="24"/>
          <w:highlight w:val="none"/>
          <w:lang w:val="en-US" w:eastAsia="zh-CN"/>
        </w:rPr>
        <w:t>，</w:t>
      </w:r>
      <w:r>
        <w:rPr>
          <w:rFonts w:hint="eastAsia" w:ascii="Times New Roman" w:hAnsi="Times New Roman" w:eastAsia="宋体" w:cs="Times New Roman"/>
          <w:color w:val="auto"/>
          <w:sz w:val="24"/>
          <w:szCs w:val="24"/>
          <w:highlight w:val="none"/>
          <w:lang w:val="en-US" w:eastAsia="zh-CN"/>
        </w:rPr>
        <w:t>根据</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val="en-US" w:eastAsia="zh-CN"/>
        </w:rPr>
        <w:t>福田街道YZ-SMC-06单元兴隆大街和诚信大道交叉口西北侧区块控规</w:t>
      </w:r>
      <w:r>
        <w:rPr>
          <w:rFonts w:hint="eastAsia" w:ascii="Times New Roman" w:hAnsi="Times New Roman" w:eastAsia="宋体" w:cs="Times New Roman"/>
          <w:color w:val="auto"/>
          <w:sz w:val="24"/>
          <w:szCs w:val="24"/>
          <w:lang w:val="en-US" w:eastAsia="zh-CN"/>
        </w:rPr>
        <w:t>》，该地块规划用途为</w:t>
      </w:r>
      <w:r>
        <w:rPr>
          <w:rFonts w:hint="eastAsia" w:cs="Times New Roman"/>
          <w:color w:val="auto"/>
          <w:sz w:val="24"/>
          <w:szCs w:val="24"/>
          <w:lang w:val="en-US" w:eastAsia="zh-CN"/>
        </w:rPr>
        <w:t>公共管理与公共服务用地</w:t>
      </w:r>
      <w:r>
        <w:rPr>
          <w:rFonts w:hint="eastAsia" w:ascii="Times New Roman" w:hAnsi="Times New Roman" w:eastAsia="宋体" w:cs="Times New Roman"/>
          <w:color w:val="auto"/>
          <w:sz w:val="24"/>
          <w:szCs w:val="24"/>
          <w:highlight w:val="none"/>
          <w:lang w:val="en-US" w:eastAsia="zh-CN"/>
        </w:rPr>
        <w:t>，为《国土空间调查、规划、用途管制用地用海分类指南》（</w:t>
      </w:r>
      <w:r>
        <w:rPr>
          <w:rFonts w:hint="default" w:ascii="Times New Roman" w:hAnsi="Times New Roman" w:eastAsia="宋体" w:cs="Times New Roman"/>
          <w:color w:val="auto"/>
          <w:sz w:val="24"/>
          <w:szCs w:val="24"/>
          <w:highlight w:val="none"/>
          <w:lang w:val="en-US" w:eastAsia="zh-CN"/>
        </w:rPr>
        <w:t xml:space="preserve">2023 </w:t>
      </w:r>
      <w:r>
        <w:rPr>
          <w:rFonts w:hint="eastAsia" w:ascii="Times New Roman" w:hAnsi="Times New Roman" w:eastAsia="宋体" w:cs="Times New Roman"/>
          <w:color w:val="auto"/>
          <w:sz w:val="24"/>
          <w:szCs w:val="24"/>
          <w:highlight w:val="none"/>
          <w:lang w:val="en-US" w:eastAsia="zh-CN"/>
        </w:rPr>
        <w:t xml:space="preserve">年 </w:t>
      </w:r>
      <w:r>
        <w:rPr>
          <w:rFonts w:hint="default" w:ascii="Times New Roman" w:hAnsi="Times New Roman" w:eastAsia="宋体" w:cs="Times New Roman"/>
          <w:color w:val="auto"/>
          <w:sz w:val="24"/>
          <w:szCs w:val="24"/>
          <w:highlight w:val="none"/>
          <w:lang w:val="en-US" w:eastAsia="zh-CN"/>
        </w:rPr>
        <w:t xml:space="preserve">11 </w:t>
      </w:r>
      <w:r>
        <w:rPr>
          <w:rFonts w:hint="eastAsia" w:ascii="Times New Roman" w:hAnsi="Times New Roman" w:eastAsia="宋体" w:cs="Times New Roman"/>
          <w:color w:val="auto"/>
          <w:sz w:val="24"/>
          <w:szCs w:val="24"/>
          <w:highlight w:val="none"/>
          <w:lang w:val="en-US" w:eastAsia="zh-CN"/>
        </w:rPr>
        <w:t>月）</w:t>
      </w:r>
      <w:r>
        <w:rPr>
          <w:rFonts w:hint="default" w:ascii="Times New Roman" w:hAnsi="Times New Roman" w:eastAsia="宋体" w:cs="Times New Roman"/>
          <w:color w:val="auto"/>
          <w:sz w:val="24"/>
          <w:szCs w:val="24"/>
          <w:highlight w:val="none"/>
          <w:lang w:val="en-US" w:eastAsia="zh-CN"/>
        </w:rPr>
        <w:t>中的公共管理与公共服务用地（0803文化用地），属敏感用</w:t>
      </w:r>
      <w:r>
        <w:rPr>
          <w:rFonts w:hint="eastAsia" w:ascii="Times New Roman" w:hAnsi="Times New Roman" w:eastAsia="宋体" w:cs="Times New Roman"/>
          <w:color w:val="auto"/>
          <w:sz w:val="24"/>
          <w:szCs w:val="24"/>
          <w:highlight w:val="none"/>
          <w:lang w:val="en-US" w:eastAsia="zh-CN"/>
        </w:rPr>
        <w:t>地。</w:t>
      </w:r>
    </w:p>
    <w:p w14:paraId="1E47D7D7">
      <w:pPr>
        <w:pStyle w:val="3"/>
        <w:keepNext w:val="0"/>
        <w:keepLines w:val="0"/>
        <w:pageBreakBefore w:val="0"/>
        <w:widowControl w:val="0"/>
        <w:kinsoku/>
        <w:wordWrap/>
        <w:overflowPunct/>
        <w:topLinePunct w:val="0"/>
        <w:autoSpaceDE/>
        <w:autoSpaceDN/>
        <w:bidi w:val="0"/>
        <w:adjustRightInd/>
        <w:snapToGrid/>
        <w:ind w:left="0" w:leftChars="0" w:right="0" w:rightChars="0" w:firstLine="480" w:firstLineChars="200"/>
        <w:textAlignment w:val="auto"/>
        <w:rPr>
          <w:rFonts w:hint="eastAsia" w:ascii="Times New Roman" w:hAnsi="Times New Roman" w:eastAsia="宋体" w:cs="Times New Roman"/>
          <w:color w:val="auto"/>
          <w:sz w:val="24"/>
          <w:szCs w:val="24"/>
          <w:lang w:val="en-US" w:eastAsia="zh-CN"/>
        </w:rPr>
      </w:pPr>
      <w:r>
        <w:rPr>
          <w:rFonts w:hint="default"/>
          <w:color w:val="auto"/>
          <w:lang w:eastAsia="zh-CN"/>
        </w:rPr>
        <w:t>根据《中华人民共和国土壤污染防治法》（2019年1月1日起实施）第五十九条，用途变更为住宅、公共管理与公共服务用地的地块，变更前应当按照规定进行土壤污染状况调查。</w:t>
      </w:r>
      <w:r>
        <w:rPr>
          <w:rFonts w:hint="eastAsia" w:ascii="Times New Roman" w:hAnsi="Times New Roman" w:cs="Times New Roman"/>
          <w:color w:val="auto"/>
          <w:sz w:val="24"/>
          <w:szCs w:val="24"/>
          <w:highlight w:val="none"/>
          <w:lang w:val="en-US" w:eastAsia="zh-CN"/>
        </w:rPr>
        <w:t>《浙江省建设用地土壤污染风险管控和修复监督管理办法</w:t>
      </w:r>
      <w:r>
        <w:rPr>
          <w:rFonts w:hint="eastAsia" w:cs="Times New Roman"/>
          <w:color w:val="auto"/>
          <w:sz w:val="24"/>
          <w:szCs w:val="24"/>
          <w:highlight w:val="none"/>
          <w:lang w:val="en-US" w:eastAsia="zh-CN"/>
        </w:rPr>
        <w:t>（修订）</w:t>
      </w:r>
      <w:r>
        <w:rPr>
          <w:rFonts w:hint="eastAsia" w:ascii="Times New Roman" w:hAnsi="Times New Roman" w:cs="Times New Roman"/>
          <w:color w:val="auto"/>
          <w:sz w:val="24"/>
          <w:szCs w:val="24"/>
          <w:highlight w:val="none"/>
          <w:lang w:val="en-US" w:eastAsia="zh-CN"/>
        </w:rPr>
        <w:t>》（浙环发〔202</w:t>
      </w:r>
      <w:r>
        <w:rPr>
          <w:rFonts w:hint="eastAsia" w:cs="Times New Roman"/>
          <w:color w:val="auto"/>
          <w:sz w:val="24"/>
          <w:szCs w:val="24"/>
          <w:highlight w:val="none"/>
          <w:lang w:val="en-US" w:eastAsia="zh-CN"/>
        </w:rPr>
        <w:t>4</w:t>
      </w:r>
      <w:r>
        <w:rPr>
          <w:rFonts w:hint="eastAsia" w:ascii="Times New Roman" w:hAnsi="Times New Roman" w:cs="Times New Roman"/>
          <w:color w:val="auto"/>
          <w:sz w:val="24"/>
          <w:szCs w:val="24"/>
          <w:highlight w:val="none"/>
          <w:lang w:val="en-US" w:eastAsia="zh-CN"/>
        </w:rPr>
        <w:t>〕</w:t>
      </w:r>
      <w:r>
        <w:rPr>
          <w:rFonts w:hint="eastAsia" w:cs="Times New Roman"/>
          <w:color w:val="auto"/>
          <w:sz w:val="24"/>
          <w:szCs w:val="24"/>
          <w:highlight w:val="none"/>
          <w:lang w:val="en-US" w:eastAsia="zh-CN"/>
        </w:rPr>
        <w:t>47</w:t>
      </w:r>
      <w:r>
        <w:rPr>
          <w:rFonts w:hint="eastAsia" w:ascii="Times New Roman" w:hAnsi="Times New Roman" w:cs="Times New Roman"/>
          <w:color w:val="auto"/>
          <w:sz w:val="24"/>
          <w:szCs w:val="24"/>
          <w:highlight w:val="none"/>
          <w:lang w:val="en-US" w:eastAsia="zh-CN"/>
        </w:rPr>
        <w:t>号）</w:t>
      </w:r>
      <w:r>
        <w:rPr>
          <w:rFonts w:hint="default"/>
          <w:color w:val="auto"/>
          <w:lang w:eastAsia="zh-CN"/>
        </w:rPr>
        <w:t>第七条规定，</w:t>
      </w:r>
      <w:r>
        <w:rPr>
          <w:rFonts w:hint="default"/>
          <w:color w:val="auto"/>
          <w:lang w:val="en-US" w:eastAsia="zh-CN"/>
        </w:rPr>
        <w:t>本地块属于用途变更地块</w:t>
      </w:r>
      <w:r>
        <w:rPr>
          <w:rFonts w:hint="default"/>
          <w:color w:val="auto"/>
          <w:lang w:eastAsia="zh-CN"/>
        </w:rPr>
        <w:t>，</w:t>
      </w:r>
      <w:r>
        <w:rPr>
          <w:rFonts w:hint="default"/>
          <w:color w:val="auto"/>
          <w:lang w:val="en-US" w:eastAsia="zh-CN"/>
        </w:rPr>
        <w:t>原用地性质为农用地，现</w:t>
      </w:r>
      <w:r>
        <w:rPr>
          <w:rFonts w:hint="default"/>
          <w:color w:val="auto"/>
          <w:lang w:eastAsia="zh-CN"/>
        </w:rPr>
        <w:t>地块规划用途</w:t>
      </w:r>
      <w:r>
        <w:rPr>
          <w:rFonts w:hint="eastAsia" w:ascii="Times New Roman" w:hAnsi="Times New Roman" w:eastAsia="宋体" w:cs="Times New Roman"/>
          <w:color w:val="auto"/>
          <w:sz w:val="24"/>
          <w:szCs w:val="24"/>
          <w:highlight w:val="none"/>
          <w:lang w:val="en-US" w:eastAsia="zh-CN"/>
        </w:rPr>
        <w:t>为公共建筑用地</w:t>
      </w:r>
      <w:r>
        <w:rPr>
          <w:rFonts w:hint="default"/>
          <w:color w:val="auto"/>
          <w:lang w:eastAsia="zh-CN"/>
        </w:rPr>
        <w:t>，</w:t>
      </w:r>
      <w:r>
        <w:rPr>
          <w:rFonts w:hint="default"/>
          <w:color w:val="auto"/>
          <w:lang w:val="en-US" w:eastAsia="zh-CN"/>
        </w:rPr>
        <w:t>属敏感用地，为甲类地块，</w:t>
      </w:r>
      <w:r>
        <w:rPr>
          <w:rFonts w:hint="default"/>
          <w:color w:val="auto"/>
          <w:lang w:eastAsia="zh-CN"/>
        </w:rPr>
        <w:t>责任人应按规定进行土壤污染状况调查，</w:t>
      </w:r>
      <w:r>
        <w:rPr>
          <w:rFonts w:hint="default"/>
          <w:color w:val="auto"/>
          <w:lang w:val="en-US" w:eastAsia="zh-CN"/>
        </w:rPr>
        <w:t>浙江新环环保科技有限公司</w:t>
      </w:r>
      <w:r>
        <w:rPr>
          <w:rFonts w:hint="default"/>
          <w:color w:val="auto"/>
          <w:lang w:eastAsia="zh-CN"/>
        </w:rPr>
        <w:t>受</w:t>
      </w:r>
      <w:r>
        <w:rPr>
          <w:rFonts w:hint="default"/>
          <w:color w:val="auto"/>
          <w:lang w:val="en-US" w:eastAsia="zh-CN"/>
        </w:rPr>
        <w:t>义乌市人民政府福田街道办事处</w:t>
      </w:r>
      <w:r>
        <w:rPr>
          <w:rFonts w:hint="default"/>
          <w:color w:val="auto"/>
          <w:lang w:eastAsia="zh-CN"/>
        </w:rPr>
        <w:t>委托，承担了</w:t>
      </w:r>
      <w:r>
        <w:rPr>
          <w:rFonts w:hint="eastAsia"/>
          <w:color w:val="auto"/>
          <w:lang w:val="en-US" w:eastAsia="zh-CN"/>
        </w:rPr>
        <w:t>福田街道兴隆大街西侧地块</w:t>
      </w:r>
      <w:r>
        <w:rPr>
          <w:rFonts w:hint="default"/>
          <w:color w:val="auto"/>
          <w:lang w:eastAsia="zh-CN"/>
        </w:rPr>
        <w:t>的土壤污染状况调查工作。</w:t>
      </w:r>
      <w:r>
        <w:rPr>
          <w:rFonts w:hint="eastAsia" w:ascii="Times New Roman" w:hAnsi="Times New Roman" w:eastAsia="宋体" w:cs="Times New Roman"/>
          <w:color w:val="auto"/>
          <w:sz w:val="24"/>
          <w:szCs w:val="24"/>
          <w:lang w:eastAsia="zh-CN"/>
        </w:rPr>
        <w:t>我单位接受委托后，对地块进行现场踏勘、资料收集和人员访谈等工作，并按照相关导则和标准编写了</w:t>
      </w:r>
      <w:r>
        <w:rPr>
          <w:rFonts w:hint="eastAsia" w:cs="Times New Roman"/>
          <w:color w:val="auto"/>
          <w:sz w:val="24"/>
          <w:szCs w:val="24"/>
          <w:lang w:eastAsia="zh-CN"/>
        </w:rPr>
        <w:t>《</w:t>
      </w:r>
      <w:r>
        <w:rPr>
          <w:rFonts w:hint="eastAsia" w:cs="Times New Roman"/>
          <w:color w:val="auto"/>
          <w:sz w:val="24"/>
          <w:szCs w:val="24"/>
          <w:lang w:val="en-US" w:eastAsia="zh-CN"/>
        </w:rPr>
        <w:t>福田街道兴隆大街西侧地块第一阶段土壤污染状况调查报告</w:t>
      </w:r>
      <w:r>
        <w:rPr>
          <w:rFonts w:hint="default" w:ascii="Times New Roman" w:hAnsi="Times New Roman" w:eastAsia="宋体" w:cs="Times New Roman"/>
          <w:color w:val="auto"/>
          <w:sz w:val="24"/>
          <w:szCs w:val="24"/>
        </w:rPr>
        <w:t>》</w:t>
      </w:r>
      <w:r>
        <w:rPr>
          <w:rFonts w:hint="eastAsia" w:ascii="Times New Roman" w:hAnsi="Times New Roman" w:eastAsia="宋体" w:cs="Times New Roman"/>
          <w:color w:val="auto"/>
          <w:sz w:val="24"/>
          <w:szCs w:val="24"/>
          <w:lang w:eastAsia="zh-CN"/>
        </w:rPr>
        <w:t>。浙江省环境科技有限公司受金华市生态环境局义乌分局委托，与</w:t>
      </w:r>
      <w:r>
        <w:rPr>
          <w:rFonts w:hint="eastAsia" w:ascii="Times New Roman" w:hAnsi="Times New Roman" w:eastAsia="宋体" w:cs="Times New Roman"/>
          <w:color w:val="auto"/>
          <w:sz w:val="24"/>
          <w:szCs w:val="24"/>
          <w:lang w:val="en-US" w:eastAsia="zh-CN"/>
        </w:rPr>
        <w:t>2024年1</w:t>
      </w:r>
      <w:r>
        <w:rPr>
          <w:rFonts w:hint="eastAsia" w:ascii="Times New Roman" w:cs="Times New Roman"/>
          <w:color w:val="auto"/>
          <w:sz w:val="24"/>
          <w:szCs w:val="24"/>
          <w:lang w:val="en-US" w:eastAsia="zh-CN"/>
        </w:rPr>
        <w:t>1</w:t>
      </w:r>
      <w:r>
        <w:rPr>
          <w:rFonts w:hint="eastAsia" w:ascii="Times New Roman" w:hAnsi="Times New Roman" w:eastAsia="宋体" w:cs="Times New Roman"/>
          <w:color w:val="auto"/>
          <w:sz w:val="24"/>
          <w:szCs w:val="24"/>
          <w:lang w:val="en-US" w:eastAsia="zh-CN"/>
        </w:rPr>
        <w:t>月8日在主持义乌召开了本地块土壤污染状况调查报告的技术评审会，会上本报告通过评审并出具了专家组意见，我单位对报告进行修改完善后提交了备案稿。</w:t>
      </w:r>
    </w:p>
    <w:p w14:paraId="1AF99142">
      <w:pPr>
        <w:spacing w:line="360" w:lineRule="auto"/>
        <w:ind w:firstLine="480" w:firstLineChars="200"/>
        <w:rPr>
          <w:rFonts w:hint="default" w:ascii="Times New Roman" w:hAnsi="Times New Roman" w:eastAsia="宋体" w:cs="Times New Roman"/>
          <w:color w:val="auto"/>
          <w:spacing w:val="-4"/>
          <w:sz w:val="24"/>
          <w:szCs w:val="24"/>
          <w:highlight w:val="none"/>
          <w:lang w:eastAsia="zh-CN"/>
        </w:rPr>
      </w:pPr>
      <w:r>
        <w:rPr>
          <w:rFonts w:hint="default" w:ascii="Times New Roman" w:hAnsi="Times New Roman" w:eastAsia="宋体" w:cs="Times New Roman"/>
          <w:b w:val="0"/>
          <w:bCs w:val="0"/>
          <w:color w:val="auto"/>
          <w:kern w:val="2"/>
          <w:sz w:val="24"/>
          <w:szCs w:val="24"/>
          <w:lang w:val="en-US" w:eastAsia="zh-CN" w:bidi="ar-SA"/>
        </w:rPr>
        <w:t>通过现场踏勘、人员访谈以及查阅历史资料可知，</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调查地块</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历史上</w:t>
      </w:r>
      <w:r>
        <w:rPr>
          <w:rFonts w:hint="default" w:ascii="Times New Roman" w:hAnsi="Times New Roman" w:eastAsia="宋体" w:cs="Times New Roman"/>
          <w:color w:val="000000" w:themeColor="text1"/>
          <w:sz w:val="24"/>
          <w:szCs w:val="24"/>
          <w:highlight w:val="none"/>
          <w:lang w:val="en-US" w:eastAsia="zh-CN"/>
          <w14:textFill>
            <w14:solidFill>
              <w14:schemeClr w14:val="tx1"/>
            </w14:solidFill>
          </w14:textFill>
        </w:rPr>
        <w:t>为</w:t>
      </w:r>
      <w:r>
        <w:rPr>
          <w:rFonts w:hint="eastAsia" w:cs="Times New Roman"/>
          <w:sz w:val="24"/>
          <w:szCs w:val="24"/>
          <w:highlight w:val="none"/>
          <w:lang w:val="en-US" w:eastAsia="zh-CN"/>
        </w:rPr>
        <w:t>耕地</w:t>
      </w:r>
      <w:r>
        <w:rPr>
          <w:rFonts w:hint="default" w:ascii="Times New Roman" w:hAnsi="Times New Roman" w:eastAsia="宋体" w:cs="Times New Roman"/>
          <w:sz w:val="24"/>
          <w:szCs w:val="24"/>
          <w:highlight w:val="none"/>
          <w:lang w:val="en-US" w:eastAsia="zh-CN"/>
        </w:rPr>
        <w:t>、</w:t>
      </w:r>
      <w:r>
        <w:rPr>
          <w:rFonts w:hint="eastAsia" w:cs="Times New Roman"/>
          <w:sz w:val="24"/>
          <w:szCs w:val="24"/>
          <w:highlight w:val="none"/>
          <w:lang w:val="en-US" w:eastAsia="zh-CN"/>
        </w:rPr>
        <w:t>池塘、田坎、草地、临时工棚，现为空地。本地块内土壤颜色气味正常，未见污染痕迹</w:t>
      </w:r>
      <w:r>
        <w:rPr>
          <w:rFonts w:hint="default" w:ascii="Times New Roman" w:hAnsi="Times New Roman" w:eastAsia="宋体" w:cs="Times New Roman"/>
          <w:color w:val="auto"/>
          <w:spacing w:val="-4"/>
          <w:sz w:val="24"/>
          <w:szCs w:val="24"/>
          <w:highlight w:val="none"/>
          <w:lang w:eastAsia="zh-CN"/>
        </w:rPr>
        <w:t>地块不涉及有毒有害物质储存与输送、涉及环境污染事故、危险废物堆放、固废堆放与倾倒、固废填埋等，不存在其它可能造成土壤污染的情形。</w:t>
      </w:r>
      <w:r>
        <w:rPr>
          <w:rFonts w:hint="eastAsia" w:ascii="Times New Roman" w:hAnsi="Times New Roman" w:eastAsia="宋体" w:cs="Times New Roman"/>
          <w:color w:val="auto"/>
          <w:spacing w:val="-4"/>
          <w:sz w:val="24"/>
          <w:szCs w:val="24"/>
          <w:highlight w:val="none"/>
          <w:lang w:val="en-US" w:eastAsia="zh-CN"/>
        </w:rPr>
        <w:t>其相邻地块现状及历史上</w:t>
      </w:r>
      <w:r>
        <w:rPr>
          <w:rFonts w:hint="eastAsia" w:cs="Times New Roman"/>
          <w:sz w:val="24"/>
          <w:szCs w:val="24"/>
          <w:lang w:val="en-US" w:eastAsia="zh-CN"/>
        </w:rPr>
        <w:t>存在耕地、池塘、道路、居民区、绿化景观带</w:t>
      </w:r>
      <w:r>
        <w:rPr>
          <w:rFonts w:hint="eastAsia" w:ascii="宋体" w:hAnsi="宋体" w:eastAsia="宋体" w:cs="宋体"/>
          <w:color w:val="000000" w:themeColor="text1"/>
          <w:kern w:val="0"/>
          <w:sz w:val="24"/>
          <w:szCs w:val="24"/>
          <w:lang w:val="en-US" w:eastAsia="zh-CN" w:bidi="ar"/>
          <w14:textFill>
            <w14:solidFill>
              <w14:schemeClr w14:val="tx1"/>
            </w14:solidFill>
          </w14:textFill>
        </w:rPr>
        <w:t>等</w:t>
      </w:r>
      <w:r>
        <w:rPr>
          <w:rFonts w:hint="eastAsia" w:cs="Times New Roman"/>
          <w:sz w:val="24"/>
          <w:szCs w:val="24"/>
          <w:lang w:val="en-US" w:eastAsia="zh-CN"/>
        </w:rPr>
        <w:t>。</w:t>
      </w:r>
      <w:r>
        <w:rPr>
          <w:rFonts w:hint="eastAsia" w:ascii="Times New Roman" w:hAnsi="Times New Roman" w:eastAsia="宋体" w:cs="Times New Roman"/>
          <w:color w:val="auto"/>
          <w:spacing w:val="-4"/>
          <w:sz w:val="24"/>
          <w:szCs w:val="24"/>
          <w:highlight w:val="none"/>
          <w:lang w:val="en-US" w:eastAsia="zh-CN"/>
        </w:rPr>
        <w:t>因此，相邻地块</w:t>
      </w:r>
      <w:r>
        <w:rPr>
          <w:rFonts w:hint="default" w:ascii="Times New Roman" w:hAnsi="Times New Roman" w:eastAsia="宋体" w:cs="Times New Roman"/>
          <w:color w:val="auto"/>
          <w:spacing w:val="-4"/>
          <w:sz w:val="24"/>
          <w:szCs w:val="24"/>
          <w:highlight w:val="none"/>
          <w:lang w:eastAsia="zh-CN"/>
        </w:rPr>
        <w:t>不涉及有毒有害物质储存与输送、涉及环境污染事故、危险废物堆放、固废堆放与倾倒、固废填埋等，不存在其它可能造成土壤污染的情形。</w:t>
      </w:r>
    </w:p>
    <w:p w14:paraId="3663559A">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left="0" w:leftChars="0" w:right="0" w:rightChars="0" w:firstLine="480" w:firstLineChars="200"/>
        <w:textAlignment w:val="auto"/>
        <w:rPr>
          <w:rFonts w:hint="default" w:ascii="Times New Roman" w:hAnsi="Times New Roman" w:eastAsia="宋体" w:cs="Times New Roman"/>
          <w:b/>
          <w:bCs/>
          <w:sz w:val="24"/>
          <w:szCs w:val="24"/>
          <w:lang w:val="en-US" w:eastAsia="zh-CN"/>
        </w:rPr>
      </w:pPr>
      <w:r>
        <w:rPr>
          <w:rFonts w:hint="eastAsia" w:cs="Times New Roman"/>
          <w:sz w:val="24"/>
          <w:szCs w:val="24"/>
          <w:lang w:val="en-US" w:eastAsia="zh-CN"/>
        </w:rPr>
        <w:t>公司委托浙江丰合检测技术有限公司，于2024年 10月25日对地块及周边区域进行土壤快筛采样检测，参考《土壤环境质量建设用地土壤污染风险管控标准（试行）》（</w:t>
      </w:r>
      <w:r>
        <w:rPr>
          <w:rFonts w:hint="default" w:cs="Times New Roman"/>
          <w:sz w:val="24"/>
          <w:szCs w:val="24"/>
          <w:lang w:val="en-US" w:eastAsia="zh-CN"/>
        </w:rPr>
        <w:t>GB36600-2018</w:t>
      </w:r>
      <w:r>
        <w:rPr>
          <w:rFonts w:hint="eastAsia" w:cs="Times New Roman"/>
          <w:sz w:val="24"/>
          <w:szCs w:val="24"/>
          <w:lang w:val="en-US" w:eastAsia="zh-CN"/>
        </w:rPr>
        <w:t xml:space="preserve">）基本项目中重金属指标及现场快筛设备监测能力现场土壤快筛监测项目选择铜、镍、铅、砷、镉、汞、总铬及 </w:t>
      </w:r>
      <w:r>
        <w:rPr>
          <w:rFonts w:hint="default" w:cs="Times New Roman"/>
          <w:sz w:val="24"/>
          <w:szCs w:val="24"/>
          <w:lang w:val="en-US" w:eastAsia="zh-CN"/>
        </w:rPr>
        <w:t xml:space="preserve">VOCs </w:t>
      </w:r>
      <w:r>
        <w:rPr>
          <w:rFonts w:hint="eastAsia" w:cs="Times New Roman"/>
          <w:sz w:val="24"/>
          <w:szCs w:val="24"/>
          <w:lang w:val="en-US" w:eastAsia="zh-CN"/>
        </w:rPr>
        <w:t>作为重金属污染分析项。由检测结果分析得知，总铬满足《建设用地土壤污染风险评估技术导则》（</w:t>
      </w:r>
      <w:r>
        <w:rPr>
          <w:rFonts w:hint="default" w:cs="Times New Roman"/>
          <w:sz w:val="24"/>
          <w:szCs w:val="24"/>
          <w:lang w:val="en-US" w:eastAsia="zh-CN"/>
        </w:rPr>
        <w:t>DB33/T892-2022</w:t>
      </w:r>
      <w:r>
        <w:rPr>
          <w:rFonts w:hint="eastAsia" w:cs="Times New Roman"/>
          <w:sz w:val="24"/>
          <w:szCs w:val="24"/>
          <w:lang w:val="en-US" w:eastAsia="zh-CN"/>
        </w:rPr>
        <w:t xml:space="preserve">）中表 </w:t>
      </w:r>
      <w:r>
        <w:rPr>
          <w:rFonts w:hint="default" w:cs="Times New Roman"/>
          <w:sz w:val="24"/>
          <w:szCs w:val="24"/>
          <w:lang w:val="en-US" w:eastAsia="zh-CN"/>
        </w:rPr>
        <w:t>A.2</w:t>
      </w:r>
      <w:r>
        <w:rPr>
          <w:rFonts w:hint="eastAsia" w:cs="Times New Roman"/>
          <w:sz w:val="24"/>
          <w:szCs w:val="24"/>
          <w:lang w:val="en-US" w:eastAsia="zh-CN"/>
        </w:rPr>
        <w:t>建设用地土壤污染物风险评估筛选值其他项目中的敏感用地筛选值，其余监测因子满足《土壤环境质量建设用地土壤污染风险管控标准（试行）》（</w:t>
      </w:r>
      <w:r>
        <w:rPr>
          <w:rFonts w:hint="default" w:cs="Times New Roman"/>
          <w:sz w:val="24"/>
          <w:szCs w:val="24"/>
          <w:lang w:val="en-US" w:eastAsia="zh-CN"/>
        </w:rPr>
        <w:t>GB36600-2018</w:t>
      </w:r>
      <w:r>
        <w:rPr>
          <w:rFonts w:hint="eastAsia" w:cs="Times New Roman"/>
          <w:sz w:val="24"/>
          <w:szCs w:val="24"/>
          <w:lang w:val="en-US" w:eastAsia="zh-CN"/>
        </w:rPr>
        <w:t>）中第一类用地质量标准筛选值，</w:t>
      </w:r>
      <w:r>
        <w:rPr>
          <w:rFonts w:hint="default" w:cs="Times New Roman"/>
          <w:sz w:val="24"/>
          <w:szCs w:val="24"/>
          <w:lang w:val="en-US" w:eastAsia="zh-CN"/>
        </w:rPr>
        <w:t xml:space="preserve">PID </w:t>
      </w:r>
      <w:r>
        <w:rPr>
          <w:rFonts w:hint="eastAsia" w:cs="Times New Roman"/>
          <w:sz w:val="24"/>
          <w:szCs w:val="24"/>
          <w:lang w:val="en-US" w:eastAsia="zh-CN"/>
        </w:rPr>
        <w:t>检出值几乎都低于背景值。本地块受重金属污染以及有机物污染的可能性较低。</w:t>
      </w:r>
    </w:p>
    <w:p w14:paraId="03A6C92D">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firstLine="480" w:firstLineChars="200"/>
        <w:textAlignment w:val="auto"/>
        <w:rPr>
          <w:rFonts w:hint="eastAsia" w:cs="Times New Roman"/>
          <w:sz w:val="24"/>
          <w:szCs w:val="24"/>
          <w:lang w:val="en-US" w:eastAsia="zh-CN"/>
        </w:rPr>
      </w:pPr>
      <w:r>
        <w:rPr>
          <w:rFonts w:hint="eastAsia" w:cs="Times New Roman"/>
          <w:sz w:val="24"/>
          <w:szCs w:val="24"/>
          <w:lang w:val="en-US" w:eastAsia="zh-CN"/>
        </w:rPr>
        <w:t>根据《建设用地土壤污染状况调查技术导则》（</w:t>
      </w:r>
      <w:r>
        <w:rPr>
          <w:rFonts w:hint="default" w:cs="Times New Roman"/>
          <w:sz w:val="24"/>
          <w:szCs w:val="24"/>
          <w:lang w:val="en-US" w:eastAsia="zh-CN"/>
        </w:rPr>
        <w:t>HJ25.1-2019</w:t>
      </w:r>
      <w:r>
        <w:rPr>
          <w:rFonts w:hint="eastAsia" w:cs="Times New Roman"/>
          <w:sz w:val="24"/>
          <w:szCs w:val="24"/>
          <w:lang w:val="en-US" w:eastAsia="zh-CN"/>
        </w:rPr>
        <w:t xml:space="preserve">）、《浙江省 </w:t>
      </w:r>
    </w:p>
    <w:p w14:paraId="38C3098C">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eastAsia" w:cs="Times New Roman"/>
          <w:sz w:val="24"/>
          <w:szCs w:val="24"/>
          <w:lang w:val="en-US" w:eastAsia="zh-CN"/>
        </w:rPr>
      </w:pPr>
      <w:r>
        <w:rPr>
          <w:rFonts w:hint="eastAsia" w:cs="Times New Roman"/>
          <w:sz w:val="24"/>
          <w:szCs w:val="24"/>
          <w:lang w:val="en-US" w:eastAsia="zh-CN"/>
        </w:rPr>
        <w:t>建设用地土壤污染风险管控和修复监督管理办法（修订）》（浙环发〔</w:t>
      </w:r>
      <w:r>
        <w:rPr>
          <w:rFonts w:hint="default" w:cs="Times New Roman"/>
          <w:sz w:val="24"/>
          <w:szCs w:val="24"/>
          <w:lang w:val="en-US" w:eastAsia="zh-CN"/>
        </w:rPr>
        <w:t>2024</w:t>
      </w:r>
      <w:r>
        <w:rPr>
          <w:rFonts w:hint="eastAsia" w:cs="Times New Roman"/>
          <w:sz w:val="24"/>
          <w:szCs w:val="24"/>
          <w:lang w:val="en-US" w:eastAsia="zh-CN"/>
        </w:rPr>
        <w:t>〕</w:t>
      </w:r>
      <w:r>
        <w:rPr>
          <w:rFonts w:hint="default" w:cs="Times New Roman"/>
          <w:sz w:val="24"/>
          <w:szCs w:val="24"/>
          <w:lang w:val="en-US" w:eastAsia="zh-CN"/>
        </w:rPr>
        <w:t xml:space="preserve">47 </w:t>
      </w:r>
    </w:p>
    <w:p w14:paraId="695CFEC2">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eastAsia" w:cs="Times New Roman"/>
          <w:sz w:val="24"/>
          <w:szCs w:val="24"/>
          <w:lang w:val="en-US" w:eastAsia="zh-CN"/>
        </w:rPr>
      </w:pPr>
      <w:r>
        <w:rPr>
          <w:rFonts w:hint="eastAsia" w:cs="Times New Roman"/>
          <w:sz w:val="24"/>
          <w:szCs w:val="24"/>
          <w:lang w:val="en-US" w:eastAsia="zh-CN"/>
        </w:rPr>
        <w:t>号）及《土壤司关于部长信箱来信</w:t>
      </w:r>
      <w:r>
        <w:rPr>
          <w:rFonts w:hint="default" w:cs="Times New Roman"/>
          <w:sz w:val="24"/>
          <w:szCs w:val="24"/>
          <w:lang w:val="en-US" w:eastAsia="zh-CN"/>
        </w:rPr>
        <w:t>“</w:t>
      </w:r>
      <w:r>
        <w:rPr>
          <w:rFonts w:hint="eastAsia" w:cs="Times New Roman"/>
          <w:sz w:val="24"/>
          <w:szCs w:val="24"/>
          <w:lang w:val="en-US" w:eastAsia="zh-CN"/>
        </w:rPr>
        <w:t>农用地变更用途是否需要做土壤污染检测</w:t>
      </w:r>
      <w:r>
        <w:rPr>
          <w:rFonts w:hint="default" w:cs="Times New Roman"/>
          <w:sz w:val="24"/>
          <w:szCs w:val="24"/>
          <w:lang w:val="en-US" w:eastAsia="zh-CN"/>
        </w:rPr>
        <w:t xml:space="preserve">” </w:t>
      </w:r>
    </w:p>
    <w:p w14:paraId="0DD8DF53">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eastAsia" w:cs="Times New Roman"/>
          <w:sz w:val="24"/>
          <w:szCs w:val="24"/>
          <w:lang w:val="en-US" w:eastAsia="zh-CN"/>
        </w:rPr>
      </w:pPr>
      <w:r>
        <w:rPr>
          <w:rFonts w:hint="eastAsia" w:cs="Times New Roman"/>
          <w:sz w:val="24"/>
          <w:szCs w:val="24"/>
          <w:lang w:val="en-US" w:eastAsia="zh-CN"/>
        </w:rPr>
        <w:t xml:space="preserve">等三个办理单的答复》，“第一阶段土壤污染状况调查是以资料收集、现场踏勘 </w:t>
      </w:r>
    </w:p>
    <w:p w14:paraId="636DB64A">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eastAsia" w:cs="Times New Roman"/>
          <w:sz w:val="24"/>
          <w:szCs w:val="24"/>
          <w:lang w:val="en-US" w:eastAsia="zh-CN"/>
        </w:rPr>
      </w:pPr>
      <w:r>
        <w:rPr>
          <w:rFonts w:hint="eastAsia" w:cs="Times New Roman"/>
          <w:sz w:val="24"/>
          <w:szCs w:val="24"/>
          <w:lang w:val="en-US" w:eastAsia="zh-CN"/>
        </w:rPr>
        <w:t xml:space="preserve">和人员访谈为主的污染识别阶段，原则上不进行现场采样分析。若第一阶段调查 </w:t>
      </w:r>
    </w:p>
    <w:p w14:paraId="662065CD">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eastAsia" w:cs="Times New Roman"/>
          <w:sz w:val="24"/>
          <w:szCs w:val="24"/>
          <w:lang w:val="en-US" w:eastAsia="zh-CN"/>
        </w:rPr>
      </w:pPr>
      <w:r>
        <w:rPr>
          <w:rFonts w:hint="eastAsia" w:cs="Times New Roman"/>
          <w:sz w:val="24"/>
          <w:szCs w:val="24"/>
          <w:lang w:val="en-US" w:eastAsia="zh-CN"/>
        </w:rPr>
        <w:t xml:space="preserve">确认地块内及周围区域当前和历史上均无可能的污染源，则认为地块的环境状况 </w:t>
      </w:r>
    </w:p>
    <w:p w14:paraId="0F6A7D4F">
      <w:pPr>
        <w:keepNext w:val="0"/>
        <w:keepLines w:val="0"/>
        <w:pageBreakBefore w:val="0"/>
        <w:widowControl w:val="0"/>
        <w:numPr>
          <w:ilvl w:val="-1"/>
          <w:numId w:val="0"/>
        </w:numPr>
        <w:shd w:val="clear"/>
        <w:kinsoku/>
        <w:wordWrap/>
        <w:overflowPunct/>
        <w:topLinePunct w:val="0"/>
        <w:autoSpaceDE/>
        <w:autoSpaceDN/>
        <w:bidi w:val="0"/>
        <w:adjustRightInd/>
        <w:snapToGrid/>
        <w:spacing w:line="360" w:lineRule="auto"/>
        <w:ind w:right="0" w:rightChars="0"/>
        <w:textAlignment w:val="auto"/>
        <w:rPr>
          <w:rFonts w:hint="default" w:ascii="Times New Roman" w:hAnsi="Times New Roman" w:eastAsia="宋体" w:cs="Times New Roman"/>
          <w:color w:val="auto"/>
          <w:sz w:val="24"/>
          <w:szCs w:val="24"/>
          <w:highlight w:val="none"/>
          <w:lang w:eastAsia="zh-CN"/>
        </w:rPr>
      </w:pPr>
      <w:r>
        <w:rPr>
          <w:rFonts w:hint="eastAsia" w:cs="Times New Roman"/>
          <w:sz w:val="24"/>
          <w:szCs w:val="24"/>
          <w:lang w:val="en-US" w:eastAsia="zh-CN"/>
        </w:rPr>
        <w:t>可以接受，调查活动可以结束”。</w:t>
      </w:r>
      <w:r>
        <w:rPr>
          <w:rFonts w:hint="eastAsia" w:ascii="宋体" w:hAnsi="宋体" w:eastAsia="宋体"/>
          <w:color w:val="auto"/>
          <w:sz w:val="24"/>
        </w:rPr>
        <w:t>因此本地块土壤污染状况第一阶段调查工作可以结束，无需进入第二阶段的调查</w:t>
      </w:r>
      <w:r>
        <w:rPr>
          <w:rFonts w:hint="default"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highlight w:val="none"/>
          <w:lang w:eastAsia="zh-CN"/>
        </w:rPr>
        <w:t>可以作为</w:t>
      </w:r>
      <w:r>
        <w:rPr>
          <w:rFonts w:hint="default" w:ascii="Times New Roman" w:hAnsi="Times New Roman" w:eastAsia="宋体" w:cs="Times New Roman"/>
          <w:color w:val="auto"/>
          <w:sz w:val="24"/>
          <w:szCs w:val="24"/>
          <w:highlight w:val="none"/>
          <w:lang w:val="en-US" w:eastAsia="zh-CN"/>
        </w:rPr>
        <w:t>0803文化用地</w:t>
      </w:r>
      <w:r>
        <w:rPr>
          <w:rFonts w:hint="default" w:ascii="Times New Roman" w:hAnsi="Times New Roman" w:eastAsia="宋体" w:cs="Times New Roman"/>
          <w:color w:val="auto"/>
          <w:sz w:val="24"/>
          <w:szCs w:val="24"/>
          <w:highlight w:val="none"/>
          <w:lang w:eastAsia="zh-CN"/>
        </w:rPr>
        <w:t>。</w:t>
      </w:r>
    </w:p>
    <w:p w14:paraId="0F0E2EEE">
      <w:pPr>
        <w:spacing w:line="360" w:lineRule="auto"/>
        <w:rPr>
          <w:rFonts w:hint="default" w:ascii="Times New Roman" w:hAnsi="Times New Roman" w:eastAsia="宋体" w:cs="Times New Roman"/>
          <w:b w:val="0"/>
          <w:bCs w:val="0"/>
          <w:color w:val="auto"/>
          <w:kern w:val="2"/>
          <w:sz w:val="24"/>
          <w:szCs w:val="24"/>
          <w:lang w:val="en-US" w:eastAsia="zh-CN" w:bidi="ar-SA"/>
        </w:rPr>
      </w:pPr>
    </w:p>
    <w:p w14:paraId="6EC0DD71">
      <w:pPr>
        <w:pStyle w:val="5"/>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86"/>
    <w:family w:val="auto"/>
    <w:pitch w:val="default"/>
    <w:sig w:usb0="00000000" w:usb1="0000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F71">
    <w:pPr>
      <w:widowControl w:val="0"/>
      <w:pBdr>
        <w:bottom w:val="single" w:color="auto" w:sz="4" w:space="1"/>
      </w:pBdr>
      <w:snapToGrid w:val="0"/>
      <w:jc w:val="both"/>
      <w:rPr>
        <w:rFonts w:ascii="Times New Roman" w:hAnsi="Times New Roman" w:eastAsia="宋体" w:cs="Times New Roman"/>
        <w:spacing w:val="0"/>
        <w:kern w:val="0"/>
        <w:sz w:val="21"/>
        <w:szCs w:val="21"/>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FE42FD"/>
    <w:multiLevelType w:val="multilevel"/>
    <w:tmpl w:val="29FE42FD"/>
    <w:lvl w:ilvl="0" w:tentative="0">
      <w:start w:val="1"/>
      <w:numFmt w:val="decimal"/>
      <w:pStyle w:val="2"/>
      <w:suff w:val="space"/>
      <w:lvlText w:val="%1"/>
      <w:lvlJc w:val="left"/>
      <w:pPr>
        <w:ind w:left="0" w:firstLine="0"/>
      </w:pPr>
      <w:rPr>
        <w:rFonts w:hint="eastAsia"/>
      </w:rPr>
    </w:lvl>
    <w:lvl w:ilvl="1" w:tentative="0">
      <w:start w:val="1"/>
      <w:numFmt w:val="decimal"/>
      <w:lvlText w:val="%1.%2"/>
      <w:lvlJc w:val="left"/>
      <w:pPr>
        <w:tabs>
          <w:tab w:val="left" w:pos="425"/>
        </w:tabs>
        <w:ind w:left="840" w:firstLine="0"/>
      </w:pPr>
      <w:rPr>
        <w:rFonts w:hint="default" w:ascii="Arial" w:hAnsi="Arial"/>
        <w:lang w:val="en-US"/>
      </w:rPr>
    </w:lvl>
    <w:lvl w:ilvl="2" w:tentative="0">
      <w:start w:val="1"/>
      <w:numFmt w:val="decimal"/>
      <w:suff w:val="nothing"/>
      <w:lvlText w:val="%1.%2.%3"/>
      <w:lvlJc w:val="left"/>
      <w:pPr>
        <w:ind w:left="0" w:firstLine="0"/>
      </w:pPr>
      <w:rPr>
        <w:rFonts w:hint="default" w:ascii="Arial" w:hAnsi="Arial"/>
      </w:rPr>
    </w:lvl>
    <w:lvl w:ilvl="3" w:tentative="0">
      <w:start w:val="0"/>
      <w:numFmt w:val="none"/>
      <w:lvlText w:val=""/>
      <w:lvlJc w:val="left"/>
      <w:pPr>
        <w:tabs>
          <w:tab w:val="left" w:pos="360"/>
        </w:tabs>
      </w:pPr>
    </w:lvl>
    <w:lvl w:ilvl="4" w:tentative="0">
      <w:start w:val="0"/>
      <w:numFmt w:val="none"/>
      <w:lvlText w:val=""/>
      <w:lvlJc w:val="left"/>
      <w:pPr>
        <w:tabs>
          <w:tab w:val="left" w:pos="360"/>
        </w:tabs>
      </w:pPr>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2NjEyMDgzNWNhNzdiOTJkY2MzOWFlOTYxNWI0NTgifQ=="/>
  </w:docVars>
  <w:rsids>
    <w:rsidRoot w:val="00000000"/>
    <w:rsid w:val="197F1FC5"/>
    <w:rsid w:val="24456C89"/>
    <w:rsid w:val="49A26000"/>
    <w:rsid w:val="53551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widowControl w:val="0"/>
      <w:numPr>
        <w:ilvl w:val="0"/>
        <w:numId w:val="1"/>
      </w:numPr>
      <w:spacing w:before="340" w:after="330" w:line="578" w:lineRule="auto"/>
      <w:jc w:val="both"/>
      <w:outlineLvl w:val="0"/>
    </w:pPr>
    <w:rPr>
      <w:rFonts w:ascii="Times New Roman" w:hAnsi="Times New Roman" w:eastAsia="宋体" w:cs="Times New Roman"/>
      <w:b/>
      <w:bCs/>
      <w:kern w:val="44"/>
      <w:sz w:val="44"/>
      <w:szCs w:val="4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next w:val="4"/>
    <w:qFormat/>
    <w:uiPriority w:val="0"/>
    <w:pPr>
      <w:widowControl w:val="0"/>
      <w:spacing w:line="360" w:lineRule="auto"/>
      <w:ind w:left="480" w:leftChars="-100" w:right="-100" w:rightChars="-100" w:firstLine="420"/>
      <w:jc w:val="both"/>
    </w:pPr>
    <w:rPr>
      <w:rFonts w:ascii="宋体" w:hAnsi="Times New Roman" w:eastAsia="宋体" w:cs="Times New Roman"/>
      <w:kern w:val="0"/>
      <w:sz w:val="24"/>
      <w:szCs w:val="18"/>
      <w:lang w:val="en-US" w:eastAsia="zh-CN" w:bidi="ar-SA"/>
    </w:rPr>
  </w:style>
  <w:style w:type="paragraph" w:customStyle="1" w:styleId="4">
    <w:name w:val="正文首行缩进2个字 Char"/>
    <w:qFormat/>
    <w:uiPriority w:val="0"/>
    <w:pPr>
      <w:widowControl w:val="0"/>
      <w:spacing w:line="360" w:lineRule="auto"/>
      <w:ind w:firstLine="480" w:firstLineChars="200"/>
      <w:jc w:val="both"/>
    </w:pPr>
    <w:rPr>
      <w:rFonts w:ascii="Times New Roman" w:hAnsi="Times New Roman" w:eastAsia="楷体" w:cs="Times New Roman"/>
      <w:kern w:val="2"/>
      <w:sz w:val="24"/>
      <w:szCs w:val="22"/>
      <w:lang w:val="en-US" w:eastAsia="zh-CN" w:bidi="ar-SA"/>
    </w:rPr>
  </w:style>
  <w:style w:type="paragraph" w:styleId="5">
    <w:name w:val="Plain Text"/>
    <w:basedOn w:val="1"/>
    <w:qFormat/>
    <w:uiPriority w:val="99"/>
    <w:rPr>
      <w:rFonts w:ascii="宋体" w:hAnsi="Courier New"/>
      <w:kern w:val="0"/>
      <w:sz w:val="20"/>
      <w:szCs w:val="20"/>
    </w:rPr>
  </w:style>
  <w:style w:type="paragraph" w:styleId="6">
    <w:name w:val="footer"/>
    <w:basedOn w:val="1"/>
    <w:unhideWhenUsed/>
    <w:qFormat/>
    <w:uiPriority w:val="99"/>
    <w:pPr>
      <w:widowControl w:val="0"/>
      <w:tabs>
        <w:tab w:val="center" w:pos="4153"/>
        <w:tab w:val="right" w:pos="8306"/>
      </w:tabs>
      <w:snapToGrid w:val="0"/>
      <w:jc w:val="left"/>
    </w:pPr>
    <w:rPr>
      <w:rFonts w:ascii="Times New Roman" w:hAnsi="Times New Roman" w:eastAsia="宋体" w:cs="Times New Roman"/>
      <w:kern w:val="0"/>
      <w:sz w:val="18"/>
      <w:szCs w:val="18"/>
      <w:lang w:val="en-US" w:eastAsia="zh-CN" w:bidi="ar-SA"/>
    </w:rPr>
  </w:style>
  <w:style w:type="paragraph" w:customStyle="1" w:styleId="9">
    <w:name w:val="报告正文-连续目录"/>
    <w:qFormat/>
    <w:uiPriority w:val="0"/>
    <w:pPr>
      <w:widowControl w:val="0"/>
      <w:spacing w:line="440" w:lineRule="exact"/>
      <w:ind w:firstLine="200" w:firstLineChars="200"/>
      <w:jc w:val="both"/>
    </w:pPr>
    <w:rPr>
      <w:rFonts w:ascii="Arial" w:hAnsi="Arial" w:eastAsia="宋体" w:cs="Times New Roman"/>
      <w:kern w:val="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1373</Words>
  <Characters>1471</Characters>
  <Lines>0</Lines>
  <Paragraphs>0</Paragraphs>
  <TotalTime>0</TotalTime>
  <ScaleCrop>false</ScaleCrop>
  <LinksUpToDate>false</LinksUpToDate>
  <CharactersWithSpaces>1471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2024-11-26T01:06:00Z</dcterms:created>
  <dc:creator>Administrator</dc:creator>
  <cp:lastModifiedBy>菲菲</cp:lastModifiedBy>
  <dcterms:modified xsi:type="dcterms:W3CDTF">2024-11-26T02:09:19Z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44DD9D9B259942D19A2C39F89C959A2E_12</vt:lpwstr>
  </property>
</Properties>
</file>